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B67083" w:rsidTr="006A50D1">
        <w:trPr>
          <w:trHeight w:val="1688"/>
        </w:trPr>
        <w:tc>
          <w:tcPr>
            <w:tcW w:w="9308" w:type="dxa"/>
          </w:tcPr>
          <w:p w:rsidR="00B67083" w:rsidRDefault="00B67083" w:rsidP="006A50D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bookmarkStart w:id="0" w:name="_GoBack"/>
            <w:bookmarkEnd w:id="0"/>
            <w:r w:rsidRPr="004E4BA3">
              <w:rPr>
                <w:rFonts w:ascii="Georgia" w:hAnsi="Georgia"/>
                <w:b/>
                <w:sz w:val="28"/>
                <w:szCs w:val="28"/>
              </w:rPr>
              <w:t>Заява</w:t>
            </w:r>
          </w:p>
          <w:p w:rsidR="00B67083" w:rsidRDefault="00B67083" w:rsidP="006A50D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E4BA3">
              <w:rPr>
                <w:rFonts w:ascii="Georgia" w:hAnsi="Georgia"/>
                <w:sz w:val="28"/>
                <w:szCs w:val="28"/>
              </w:rPr>
              <w:t xml:space="preserve">1000грн (для одного класу) + 100грн (для кожного наступного класу) </w:t>
            </w:r>
          </w:p>
          <w:p w:rsidR="00B67083" w:rsidRDefault="00B67083" w:rsidP="006A50D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+500грн (до кожного класу за кольорову ТМ)</w:t>
            </w:r>
          </w:p>
        </w:tc>
      </w:tr>
      <w:tr w:rsidR="00B67083" w:rsidTr="006A50D1">
        <w:trPr>
          <w:trHeight w:val="933"/>
        </w:trPr>
        <w:tc>
          <w:tcPr>
            <w:tcW w:w="9308" w:type="dxa"/>
          </w:tcPr>
          <w:p w:rsidR="00B67083" w:rsidRDefault="00B67083" w:rsidP="006A50D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E4BA3">
              <w:rPr>
                <w:rFonts w:ascii="Georgia" w:hAnsi="Georgia"/>
                <w:b/>
                <w:sz w:val="28"/>
                <w:szCs w:val="28"/>
              </w:rPr>
              <w:t>Публікація</w:t>
            </w:r>
          </w:p>
          <w:p w:rsidR="00B67083" w:rsidRDefault="00B67083" w:rsidP="006A50D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150грн + 100грн (для кольорового)</w:t>
            </w:r>
            <w:r>
              <w:rPr>
                <w:rFonts w:ascii="Georgia" w:hAnsi="Georgia"/>
                <w:sz w:val="28"/>
                <w:szCs w:val="28"/>
              </w:rPr>
              <w:br/>
            </w:r>
          </w:p>
        </w:tc>
      </w:tr>
      <w:tr w:rsidR="00B67083" w:rsidRPr="00E70E88" w:rsidTr="006A50D1">
        <w:trPr>
          <w:trHeight w:val="1021"/>
        </w:trPr>
        <w:tc>
          <w:tcPr>
            <w:tcW w:w="9308" w:type="dxa"/>
          </w:tcPr>
          <w:p w:rsidR="00B67083" w:rsidRDefault="00B67083" w:rsidP="006A50D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E4BA3">
              <w:rPr>
                <w:rFonts w:ascii="Georgia" w:hAnsi="Georgia"/>
                <w:b/>
                <w:sz w:val="28"/>
                <w:szCs w:val="28"/>
              </w:rPr>
              <w:t>Свідоцтво</w:t>
            </w:r>
          </w:p>
          <w:p w:rsidR="00B67083" w:rsidRPr="00E70E88" w:rsidRDefault="00B67083" w:rsidP="006A50D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85 грн для резидентів</w:t>
            </w:r>
          </w:p>
        </w:tc>
      </w:tr>
      <w:tr w:rsidR="00B67083" w:rsidRPr="00E70E88" w:rsidTr="006A50D1">
        <w:trPr>
          <w:trHeight w:val="931"/>
        </w:trPr>
        <w:tc>
          <w:tcPr>
            <w:tcW w:w="9308" w:type="dxa"/>
          </w:tcPr>
          <w:p w:rsidR="00B67083" w:rsidRPr="004E4BA3" w:rsidRDefault="00B67083" w:rsidP="006A50D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 випадку, якщо власників торгової марки декілька і вони всі бажають зареєструвати право власності на себе, то вартість всіх державних зборів збільшиться в 30%</w:t>
            </w:r>
          </w:p>
        </w:tc>
      </w:tr>
    </w:tbl>
    <w:p w:rsidR="0097647F" w:rsidRDefault="0097647F"/>
    <w:sectPr w:rsidR="0097647F" w:rsidSect="00BD0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C1"/>
    <w:rsid w:val="006C63C1"/>
    <w:rsid w:val="0097647F"/>
    <w:rsid w:val="00B67083"/>
    <w:rsid w:val="00B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C287-8B4F-47C5-9E03-09FAE8A2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2018-09-12T20:50:00Z</dcterms:created>
  <dcterms:modified xsi:type="dcterms:W3CDTF">2018-09-12T20:50:00Z</dcterms:modified>
</cp:coreProperties>
</file>